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0E" w:rsidRPr="008235CB" w:rsidRDefault="008235CB" w:rsidP="0082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8235C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Bibliography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 P.P.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>, ed.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1979.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Gournia, Crete</w:t>
      </w:r>
      <w:r w:rsidR="00585B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75th Anniversary of the Excavations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B6D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B6DE0">
        <w:rPr>
          <w:rFonts w:ascii="Times New Roman" w:eastAsia="Times New Roman" w:hAnsi="Times New Roman" w:cs="Times New Roman"/>
          <w:color w:val="000000"/>
          <w:sz w:val="24"/>
          <w:szCs w:val="24"/>
        </w:rPr>
        <w:t>Temple University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1979. “The Pottery Chronology of Gournia: A Brief Sketch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TUAS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7–10.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———. 1983.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 Objects Excavated from Vasilike, Pseira and Other Sites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Cretan Collection in the University Museum, University of Pennsylvania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 I)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25E3E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———. 1984.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East Cretan White on Dark Ware: Studies on a Handmade Pottery of Early to Middle Minoan Periods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University Monograph </w:t>
      </w:r>
      <w:r w:rsidRPr="00585B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51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71B3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 P.P., and J.S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Silverman. 1991.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Cretan Collection in the University Museum, University of Pennsylvania II: Pottery from Gournia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University Museum Monograph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72)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71B3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 P.P., T.S. Wheeler, R. Maddin, and J.D. Muhly. 1978.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E3E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B4A7E" w:rsidRPr="005B4A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Metallurgy at Gournia</w:t>
      </w:r>
      <w:r w:rsidR="005B4A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MASCAJ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B4A7E" w:rsidRP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7–8.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Blitzer, H. 1979. “The Ground Stone Implements at Gournia: Comments and Queries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TUAS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46–49.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Boukiou, M., S. Nieblas, and B. Wade. 2014. 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585B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Archaeological Site of Gournia: A Tourism Marketing Strategy</w:t>
      </w:r>
      <w:r w:rsidR="00585B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.”</w:t>
      </w:r>
      <w:r w:rsidRP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Diss. and Field Study Project, University of Kent.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Boyd-Hawes, H.A. 1904. “Gournia: Report of the American Exploration Society</w:t>
      </w:r>
      <w:r w:rsidR="0048386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 Excavations at Gournia, Crete, 1901–1903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 of the Department of Archaeology, Free Museum of Science and Art, University of Pennsylvania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1, i, </w:t>
      </w:r>
      <w:r w:rsidR="00585B7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7–44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 Philadelphia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71B3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1904–1905. “Gournia: Report of the American Exploration Society</w:t>
      </w:r>
      <w:r w:rsidR="0048386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 Excavations at Gournia, Crete in 1904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 of the Department of Archaeology, Free Museum of Science and Art, University of Pennsylvania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1, iii, 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177–</w:t>
      </w:r>
      <w:r w:rsidR="00585B7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 Philadelphia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71B3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1965. “Memoirs of a Pioneer Excavator in Crete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Archaeology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94–101.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1965. “Memoirs of a Pione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er Excavator in Crete (Part II).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Archaeology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268–76.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Boyd-Hawes, H.A., B.E. Williams, R.B. Seager, and E.H. Hall. 1908.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Gournia, Vasiliki and Other Prehistoric Sites on the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Isthmus of Hierapetra, Crete</w:t>
      </w:r>
      <w:r w:rsidR="00585B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Excavations of the Wells-Houston-Cramp Expeditions, 1901, 1903, 1904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71B3" w:rsidRP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Branigan, K. 1969. “A Minoan Dagger from Gournia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Antiquity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43(170)</w:t>
      </w:r>
      <w:r w:rsidR="00585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137–38.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Buell, D.M. 2009. “Urbanism and the Knossian State: A View from Three Regions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 presented at the Society for American Archaeology Annual Meeting, Atlanta, Georgia, April 2009.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2011. “Minoan Cityscapes: Urban Planning in Neopalatial Society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 presented at the Minoan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Archaeology: Challenges and Perspectives for the 21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Conference, Heidelberg, Germany, March 2011.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2011. “Some Preliminary Thoughts on a New Building Excavated at Gournia, Summer 2010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 presented at the INSTAP Study Center for East Crete, Pacheia Ammos, Greece, June 2011.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 2012. “New Light on the Late Minoan IB City of Gournia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aper presented at the Archaeological Institute of America 113th Annual Meeting, Philadelphia, Pennsylvania, </w:t>
      </w:r>
      <w:r w:rsidR="005B4A7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5–8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 2012.</w:t>
      </w: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2012.“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(Re)Constructing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Identity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Neopalatial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City-Planning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Meaning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Colloquium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Architectural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Memory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Frederick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(CIG),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Italian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School,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Athens,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Greece,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“Excavating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Town: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2010–2014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Lehigh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Buell,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D.M.,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Glowacki,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Kunkel,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Chapin,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Barnes,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R.A.K.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Smith.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“What’s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Gournia?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2010–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resent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olloquium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4–7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Buell,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D.M.,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J.C.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McEnroe.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“Community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Buildings/Building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From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Static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Dynamic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Processes: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Architecture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Urbanism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Toronto,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5–7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“Where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Protopalatial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Gournia?,”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8–11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“Community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Building/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Building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Architecture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Urbanism: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Built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Environment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Q.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Letesson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Knappett,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204–227.</w:t>
      </w:r>
      <w:r w:rsidR="005B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Oxford: Oxford University.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“Gournia: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Mirabello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2th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Congress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Cretan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3–19.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Heraklion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: Society of Cretan Historical Studies.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———.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47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2019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“Architecture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Memory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Gournia: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Meaningful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MNHMH/MNEME: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Memory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Bronze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</w:t>
      </w:r>
      <w:r w:rsidR="006F47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6F4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Aegaeum</w:t>
      </w:r>
      <w:r w:rsidR="006F47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43)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Laffineur,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Caloi,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F.M.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Carinchi,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Borgna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49–58.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Leuven-Liege: Peeters.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———.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Press.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“Addressing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Disruption: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Contextual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Ashlar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Masonry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Gournia.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Ashlar</w:t>
      </w:r>
      <w:r w:rsidR="006F4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Exploring the Material of Cut-stone Masonry in the Eastern Mediterranean Bronze Age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Devolder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Kreimermann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Louvain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-la-Neuve: University of Louvain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Buell,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D.M.,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J.C.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McEnroe,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Botero,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Bieńkowski.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“Recent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Architectural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2011–2015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Directions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Paradigms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Study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Greek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Architecture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Sapirstein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Scahill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, 123</w:t>
      </w:r>
      <w:r w:rsidR="006F47F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134.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7F8">
        <w:rPr>
          <w:rFonts w:ascii="Times New Roman" w:eastAsia="Times New Roman" w:hAnsi="Times New Roman" w:cs="Times New Roman"/>
          <w:color w:val="000000"/>
          <w:sz w:val="24"/>
          <w:szCs w:val="24"/>
        </w:rPr>
        <w:t>Leiden: Brill.</w:t>
      </w:r>
    </w:p>
    <w:p w:rsidR="006350A1" w:rsidRPr="008235CB" w:rsidRDefault="006350A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Cadogan,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Aeria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Atlas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</w:t>
      </w:r>
      <w:r w:rsidR="006350A1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J.W.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Myers,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E.E.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Myers,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Cadogan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0A1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104–111.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Berkeley: University of California.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Chapin,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A.P.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“It</w:t>
      </w:r>
      <w:r w:rsidR="0048386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Plasterpiece!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Neopalatial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Plasters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Kentro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14–16.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Damiani-Indelicato,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1984.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citéminoenne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Aux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origins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="00483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hellénisme</w:t>
      </w:r>
      <w:r w:rsidR="00551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Festschrift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H.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Effenterre,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47–54.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Paris: Publications de la Sorbonne.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Davis,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Kantharos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34–45.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Devolder,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“Labour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Costs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Neopalatial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Architecture: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Buildings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Klimataria-Manares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Achladia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Realities: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Approaches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Images,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Architecture,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Society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Bronze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Panagiotopoulos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Günkel-Maschek,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165–179.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Louvain-la-Neuve: Presses universitaires de Louvain.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Dysart,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“Ovis/Capra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Dinner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Faunal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Settlement</w:t>
      </w:r>
      <w:r w:rsid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Chronika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1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551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551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47</w:t>
      </w:r>
      <w:r w:rsidRPr="005510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1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54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Eliopoulos,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Vronda,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Kavousi,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Kephala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Vasilikis: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Triad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Interrelated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Shrines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Expiring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Isthmus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Ierapetra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beyond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Palaces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Proceedings</w:t>
      </w:r>
      <w:r w:rsidR="005679FC"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 w:rsidR="005679FC"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r w:rsidR="005679FC"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Crete</w:t>
      </w:r>
      <w:r w:rsidR="005679FC"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2000</w:t>
      </w:r>
      <w:r w:rsidR="005679FC"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0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Conference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Prehistory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Monographs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10),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81–90.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Philadelphia: INSTAP Academic Press.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Fotou,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1993.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Light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Gournia: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Unknown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Documents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Excavation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Other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Sites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Isthmus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Ierapetra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Harriet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Boyd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Aegaeum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Liège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: Aegaeum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1995.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“Unknown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Sites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Isthmus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Ierapetra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Harriet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Boyd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Pepragmena</w:t>
      </w:r>
      <w:r w:rsidR="00A50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tou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Z’Diethnous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Kritologikou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Synedriou</w:t>
      </w:r>
      <w:r w:rsidR="00A5018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Vol. A1. </w:t>
      </w:r>
      <w:r w:rsidR="00A50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Tmima Archaiologiko</w:t>
      </w:r>
      <w:r w:rsidR="00A5018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N.E.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Papadogiannakis,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341–348.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Rethymno: Iera Mitropolis Rethymnis &amp; Aulopotamou.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Georgiou,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H.S.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1973.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“Minoan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‘Fireboxes’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Expedition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15(4)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7–14.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Graham,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J.W.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1968.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Cretan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Sixty-Seven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Exploration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18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Called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A50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A Symposium in Memory of Harriet Boyd Hawes, 1871</w:t>
      </w:r>
      <w:r w:rsidR="00937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A50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1945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17–44.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Northampton, Mass.: Smith College.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Guimlia-Mair,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S.C.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Ferrence,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P.P.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“Metallurgy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Copper-Based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Objects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Archaeometallurgy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Europe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III: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rd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Conference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Deutsches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Bergbau-Museum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Bochum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June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29–July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2011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Beiheft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26),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Hauptmann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Modarressi-Tehrani,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145–154.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Bochum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 Deutsches Bergbau-Museum</w:t>
      </w:r>
      <w:r w:rsidR="009371B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Hall,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1905.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“Early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Painted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ournia,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Departmen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Pennsylvania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1(3)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191–206.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1912.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Excavations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East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Crete: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Sphoungaras</w:t>
      </w:r>
      <w:r w:rsidR="00937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Philadelphia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 University Museum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Harrison.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Emergence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Sociopolitical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Complexity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Gournia: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Regional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Perspectives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Chronika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22–30.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Henriksson,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G.,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Blomberg.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“Solar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Orientations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Shrines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Cosmology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cross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Cultures</w:t>
      </w:r>
      <w:r w:rsidR="00937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Workshop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Held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Parquedelas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Ciencias,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Granada,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Spain,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8–12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September</w:t>
      </w:r>
      <w:r w:rsidR="005679FC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2008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Rubiño-Martin,</w:t>
      </w:r>
      <w:r w:rsidR="005679FC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430–435.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1B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 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Francisco: Astronomical Society of the Pacific</w:t>
      </w:r>
      <w:r w:rsidR="009371B3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9FC" w:rsidRPr="008235CB" w:rsidRDefault="005679FC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Hirsch,</w:t>
      </w:r>
      <w:r w:rsidR="008235CB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E.S.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1975.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“Infrared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Photography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Archaeology: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Painted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Floors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260–266.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Hood,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1989.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Baetyl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Gournia?”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Ariadni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371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17–21.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Kriga,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“Μια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νέα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ματιά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στα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κεραμικά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ευρήματα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παλαιάς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ανασκαφής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στον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λόφο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των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Γουρνιών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Τα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εισηγμένα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ΥΜ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ΙΑ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ρυτά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των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Γουρνιών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στο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Ακρωτήρι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Θήρας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Αρχαιολογικο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Εργο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Κρητησ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Πρακτικάτης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3ης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Συνάντησης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Ρέθυμνο,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5–8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Δεκεμβρίου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2013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P. Karanastasi, A. Tzigounaki, and C. Tsigonaki,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539–548.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Rethymno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: University of Crete</w:t>
      </w:r>
      <w:r w:rsidR="00E769F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Lorenzon,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3D5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“Minoan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Mudbricks: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Earth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Fire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Earthen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Construction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Technology: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Session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IV-5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XVIII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UISPP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Congress,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Paris,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June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2018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Daneels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Torres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Freixa.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UISPP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Müller,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Gournia: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Ein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urbanes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Zentrum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Spätbronzezeit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Berlin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: Logos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Niemeier,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W.-D.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Octopus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Stirrup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Jar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Workshop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Exporting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Thera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18–26.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1980.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“Die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Katastrophe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von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Thera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spatminoische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Chronologie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JdI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1–76.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769F8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Oelmann, F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1912.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“Ein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achäisches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Herrenhaus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auf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Kreta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JdI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4120E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38–51.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Romano,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D.G.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“Minoan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Surveyors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Metron: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Measuring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Aegean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Conference,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Haven,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Yale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University,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18–21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April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2002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Aegaeum</w:t>
      </w:r>
      <w:r w:rsid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24),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Foster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Laffineur,</w:t>
      </w:r>
      <w:r w:rsid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247–256.</w:t>
      </w:r>
      <w:r w:rsidR="00E7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Liege: Université de Liège</w:t>
      </w:r>
      <w:r w:rsidR="00E769F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5CB" w:rsidRPr="008235CB" w:rsidRDefault="008235CB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Romano,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D.G.,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Arbittier,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Tolba,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N.L.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Stapp,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Insua.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GIS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Sensing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CAA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2002: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Digital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Heritage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Archaeology.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Applications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Quantitative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Methods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Archaeology: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Conference,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Heraklion,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Crete,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April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2002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Doerr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Sarris,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155–160.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Athens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 Hellenic Ministry of Culture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14D8" w:rsidRPr="008235CB" w:rsidRDefault="003414D8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Russel,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Shrine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341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27–33.</w:t>
      </w:r>
    </w:p>
    <w:p w:rsidR="003414D8" w:rsidRPr="008235CB" w:rsidRDefault="003414D8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Rutkowski,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1987.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“Das</w:t>
      </w:r>
      <w:r w:rsidR="0034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Stadtheiligtum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Ägäis-Kolloquium.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Schriften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deutschen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Archäologen-Verbandes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IX.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Papers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from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Colloquium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Prehistory,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Held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Mannheim,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20–22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February,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1986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58–62.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Mannheim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Deutscher </w:t>
      </w:r>
      <w:r w:rsidR="00B71927" w:rsidRPr="00B71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Archäologen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-Verband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Rutkowski,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Nowicki.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1988.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“Some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Observations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Reservation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(Crete,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Greece)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Engineering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Geology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Works,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Monuments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Historical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Sites</w:t>
      </w:r>
      <w:r w:rsidR="00B71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Preservation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Protection.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Symposium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Organized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by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Greek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National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Group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IAEG,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Athens,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19–23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September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1988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Marinos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Koukis,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1479–1484.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Rotterdam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 A.A. Balkema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Silverman,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J.S.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1974.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Notebook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Excavations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Expedition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11–20.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1978.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Collection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University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Museum</w:t>
      </w:r>
      <w:r w:rsidR="00B71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Ph.D. diss.,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Pennsylvania.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“Excavating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1901–1904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2–6.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Smith,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R.A.K.,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A.M.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Wagner.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“Breaking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Ground: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Founding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Feasting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Classics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Research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Seminar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Series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Brock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Breaking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Ground: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Founding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Feasting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oster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Brock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Research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Day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Brock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Breaking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Ground: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Founding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Feasting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oster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Mapping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Knowledges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Brock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Breaking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Ground: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Founding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Feasting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oster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Orleans,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proofErr w:type="gramEnd"/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8–11,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Soles,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1973.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House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Tombs: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Study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Architecture,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Chronology,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Built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Rectangular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Tombs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B71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Ph.D. diss.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Pennsylvania.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149–167.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“Towards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Reconstruction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11–17.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1991.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17–78.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Prepalatial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Cemeteries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Mochlos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House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Tombs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Bronze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Hesperia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Suppl.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24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Princeton: The American School of Classical Studies at Athens.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Central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Court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Monuments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Minos: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Rethinking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Palaces.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Workshop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‘Crete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Hundred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Palace?,’</w:t>
      </w:r>
      <w:r w:rsidR="00483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Université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Catholique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Louvain-la-Neuve,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14–15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December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2001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Aegaeum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23),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Driessen,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Schoep,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Laffineur,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123–142.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71927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: Université de Liège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Strid,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“Building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Communities/Expanding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Ceramic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Arts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Biennial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Providence,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Rhode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Island,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813EF7" w:rsidRPr="008235CB" w:rsidRDefault="00813EF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Thompson,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J.G.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1995.</w:t>
      </w:r>
      <w:r w:rsidR="00813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Was</w:t>
      </w:r>
      <w:r w:rsidR="00813EF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Bull</w:t>
      </w:r>
      <w:r w:rsidR="00813EF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Vaulting</w:t>
      </w:r>
      <w:r w:rsidR="00813EF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Possible</w:t>
      </w:r>
      <w:r w:rsidR="00813EF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</w:t>
      </w:r>
      <w:r w:rsidR="00813EF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Gournia?</w:t>
      </w:r>
      <w:r w:rsid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ArchNews</w:t>
      </w:r>
      <w:r w:rsidR="0081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17–20.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Wamel,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W.A.,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J.J.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Gast.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Analysis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Tilting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Gournia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(Crete)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by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Representative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Block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Method: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Geological-Archaeology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Technique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to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Analyse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Historical</w:t>
      </w:r>
      <w:r w:rsidR="00841D17"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Tilting</w:t>
      </w:r>
      <w:r w:rsid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.”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Archaeometry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36(1)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131–139.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Vavouranakis,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“Burials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Landscapes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Space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Spatial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Analysis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Robertson,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Seibert,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Fernandez,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Zender,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233–242.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Calgary: University of Calgary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Warren,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“LM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IA: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Knossos,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Thera,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Meletemata: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Malcolm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H.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Wiener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Enters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65</w:t>
      </w:r>
      <w:r w:rsidR="003C2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Year</w:t>
      </w:r>
      <w:r w:rsidR="003C22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ol.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III,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P.P.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Karageorghis,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Laffineur,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W.-D.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Niemeier,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eds.,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893–903.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Liege: Université de Liège.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1993.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Again: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Exploration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Newsletter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Classical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Athens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: 1, 3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1993.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Season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Fine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Art,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NYU,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Aegean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Symposium,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1993.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1992–1994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Western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York,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December1994.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Survey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1992–1994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Seasons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Atlanta,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Georgia,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“H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Ellenikh-Amerikanikh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Ereuna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sthn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perioch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twn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Gourniwn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sthn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Anatolikh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Krhth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Rethymno,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1996.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“Daily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Economy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Dieqnou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Krhtologiko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Sunedrio,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Heraklion,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1996.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“Economy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Pepragmena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="003C2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Dieqnou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Krhtologikou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Syndreiou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471–484.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Pachyammos,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Lasithi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Mesara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Surveys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One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Hundred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Years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Archaeological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841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J.D.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Muhly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Sikla,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126–135.</w:t>
      </w:r>
      <w:r w:rsidR="003C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Athens: American School of Classical Studies at Athens</w:t>
      </w:r>
      <w:r w:rsidR="003C224A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Countryside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'Crete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2000'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held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Classical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Athens,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10–13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Twelfth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Symposium,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Brock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Catharines,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Canada,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IA: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Implications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Linear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Group,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England,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</w:p>
    <w:p w:rsidR="00841D17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Craft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Implications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Aegean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Diego,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California,</w:t>
      </w:r>
      <w:r w:rsidR="0084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</w:p>
    <w:p w:rsidR="00841D17" w:rsidRPr="008235CB" w:rsidRDefault="00841D17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Tale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Six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Harbors—Kommos,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Poros,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Amnissos,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Mochlos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Zakros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Gold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Metal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Colloquium,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Montreal,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Canada,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“How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Established?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Mirabello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109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Chicago,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Illinois,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3–6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“Secondary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Mirabello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INSTAP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Pacheia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Ammos,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Greece,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Coastal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Walls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Towers,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Street,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Dam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Terraces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Anaheim,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6–9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Harbor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Gournia: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Fieldwork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2008–2009</w:t>
      </w:r>
      <w:r w:rsid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.”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Kentro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12–14.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Excavations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Gournia</w:t>
      </w:r>
      <w:r w:rsid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.”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Akoue.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Newsletter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Classical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Athens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7–8.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Archaeological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Survey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Landscape: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Regional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History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Mirabello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Bay,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Crete,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Antiquity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Philadelphia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 INSTAP Academic Press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Overview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Mirabello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Honor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Costis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Davaras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(Prehistory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Monographs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36),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Mantzourani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P.P.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273–282.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Philadelphia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 INSTAP Academic Press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“Excavations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2010–2011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113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Philadelphia,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Pennsylvania,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5–8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</w:p>
    <w:p w:rsidR="00861784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Harbor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Complex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Gournia.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AJA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521–542.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Blitzer.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1995.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Survey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1992–1994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Seasons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17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AJA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313.</w:t>
      </w:r>
    </w:p>
    <w:p w:rsidR="00861784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Neopalatial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Meletemata: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Malcolm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H.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Wiener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Enters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65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Year</w:t>
      </w:r>
      <w:r w:rsid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ol.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III,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P.P.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Betancourt,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Karageorghis,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Laffineur,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W.-D.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Niemeier,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905–909.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Liege: Université de Liège</w:t>
      </w:r>
      <w:r w:rsidR="00CD79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Blitzer,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Haggis,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Zangger.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“Economy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1992–1994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Seasons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Πεπραγμενατου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Η’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Διεθνους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Κρητολογικου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Συνεδριου,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Ηράκλειο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9–14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Σεπτεμβρίου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1996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Vol.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A3,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471–483.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Heraklion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 Hetairia Kretikon Istorikon Meleton.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D.M.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Buell.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“Gournia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2008–2009: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Revealing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Aegean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Coast”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Ontario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Aegean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Day,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Royal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Ontario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Museum,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Toronto,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Canada,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861784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2010–2012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Minoan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Seminar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Pacheia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Ammos,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D.M.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Buell,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J.C.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McEnroe,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J.G.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Younger,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L.A.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Turner,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B.S.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Kunkel,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Glowacki,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Gallimore,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Smith,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P.A.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Pantou,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Chapin,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Margaritis.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“Excavations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2010–2012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Hesperia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84(3)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397–465.</w:t>
      </w:r>
    </w:p>
    <w:p w:rsidR="00861784" w:rsidRPr="008235CB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Davaras.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1997.</w:t>
      </w:r>
      <w:r w:rsidR="0086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Amerikaniki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Scholi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Klasikon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Spoudon:</w:t>
      </w:r>
      <w:r w:rsidR="00861784"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Gournia</w:t>
      </w:r>
      <w:r w:rsidR="00AC1D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.”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ArchDelt</w:t>
      </w:r>
      <w:r w:rsidR="0086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AC1D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607–608.</w:t>
      </w:r>
    </w:p>
    <w:p w:rsidR="00861784" w:rsidRDefault="00861784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Watrous,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L.V.,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Heimroth.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“Household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Industries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Minoan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Socioeconomic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Status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ΣΤΕΓΑ: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Archaeology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Houses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Households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00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Hesperia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60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Suppl.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44),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Glowacki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Vogeikoff-Brogan,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199–212.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Princeton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: The American School of Classical Studies at Athens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Weingarten,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Kantharos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Revisited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Culture: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York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Bronze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Colloquium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Memory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Ellen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Davis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edited by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R.B.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Koehl,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1–10.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Philadelphia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: INSTAP Academic Press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Younger,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J.G.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“Ceramics,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Ancient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Modern,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Crete.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Lawrence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Arts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Center,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Lawrence,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015.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4000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Workshop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Global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Thought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,’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Lawrence,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4000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Workshop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Rehak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Symposium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Ancient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Art,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Lawrence,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D9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4000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Workshop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0D9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‘Mini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Lawrence,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Kansas,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9700C6" w:rsidRPr="008235CB" w:rsidRDefault="009700C6" w:rsidP="00970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0C6" w:rsidRDefault="009700C6" w:rsidP="00970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“Seals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Excavations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Crete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Archaeological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Meeting,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8–11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9700C6" w:rsidRDefault="009700C6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Pyrgos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Roundels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Inscribed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Linear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Suffices,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Prefixes,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Journey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Syme,”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Great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Islands</w:t>
      </w:r>
      <w:r w:rsidR="00970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Crete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Cyprus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Presented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Gerald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Cadogan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C.F.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Macdonald,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Hatzaki,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Andreou,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67–70.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Athens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: Kapon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Megaron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RA-PI-NE-U.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Mycenaean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World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Offered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Robert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Laffineur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70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Birthday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Driessen,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391–398.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Louvain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-la-Neuve: Presses Universitaires de Louvain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“Aegean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Bronze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Sealstones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Fingerrings: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Chronology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Seals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Sealing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World</w:t>
      </w:r>
      <w:r w:rsidR="00970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Case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from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Near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East,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Egypt,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Aegean,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Asia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Ameri,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Kielt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Costello,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Jamison,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Jarner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Scott,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334–354.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Cambridge: Cambridge University</w:t>
      </w:r>
      <w:r w:rsidR="009700C6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0D9" w:rsidRPr="008235CB" w:rsidRDefault="009160D9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235CB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———.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00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2019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91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“Minoan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Religion: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Myth,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Private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Memory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91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3D5"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MNHMH/MNEME: Past and Memory in the Aegean Bronze Age</w:t>
      </w:r>
      <w:r w:rsidR="00A033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A03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Aegaeum</w:t>
      </w:r>
      <w:r w:rsidR="00A033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43)</w:t>
      </w:r>
      <w:r w:rsidR="00A033D5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3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edited by </w:t>
      </w:r>
      <w:r w:rsidR="00A033D5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Laffineur, I. Caloi, F.M. Carinchi, and E. </w:t>
      </w:r>
      <w:r w:rsidR="00A033D5">
        <w:rPr>
          <w:rFonts w:ascii="Times New Roman" w:eastAsia="Times New Roman" w:hAnsi="Times New Roman" w:cs="Times New Roman"/>
          <w:color w:val="000000"/>
          <w:sz w:val="24"/>
          <w:szCs w:val="24"/>
        </w:rPr>
        <w:t>Borgna</w:t>
      </w:r>
      <w:r w:rsidR="00A033D5"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603–608.</w:t>
      </w:r>
      <w:r w:rsidR="00A03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3D5">
        <w:rPr>
          <w:rFonts w:ascii="Times New Roman" w:eastAsia="Times New Roman" w:hAnsi="Times New Roman" w:cs="Times New Roman"/>
          <w:color w:val="000000"/>
          <w:sz w:val="24"/>
          <w:szCs w:val="24"/>
        </w:rPr>
        <w:t>Leuven-Liege: Peeters</w:t>
      </w:r>
    </w:p>
    <w:p w:rsidR="008A0B91" w:rsidRDefault="008A0B91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20E" w:rsidRPr="008A0B91" w:rsidRDefault="00E4120E" w:rsidP="00E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Yule,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“Two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Seals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‘Hieroglyphic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Deposit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Group’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Gournia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TUAS</w:t>
      </w:r>
      <w:r w:rsidR="008A0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35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00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A0B91">
        <w:rPr>
          <w:rFonts w:ascii="Times New Roman" w:eastAsia="Times New Roman" w:hAnsi="Times New Roman" w:cs="Times New Roman"/>
          <w:color w:val="000000"/>
          <w:sz w:val="24"/>
          <w:szCs w:val="24"/>
        </w:rPr>
        <w:t>51–56.</w:t>
      </w:r>
    </w:p>
    <w:sectPr w:rsidR="00E4120E" w:rsidRPr="008A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zA1MjKwNLe0MDFQ0lEKTi0uzszPAykwrgUA/JhKHCwAAAA="/>
  </w:docVars>
  <w:rsids>
    <w:rsidRoot w:val="00E4120E"/>
    <w:rsid w:val="000A2773"/>
    <w:rsid w:val="00225E3E"/>
    <w:rsid w:val="00306CB7"/>
    <w:rsid w:val="003414D8"/>
    <w:rsid w:val="003C224A"/>
    <w:rsid w:val="0048386A"/>
    <w:rsid w:val="00551014"/>
    <w:rsid w:val="005679FC"/>
    <w:rsid w:val="00585B73"/>
    <w:rsid w:val="005B4A7E"/>
    <w:rsid w:val="006350A1"/>
    <w:rsid w:val="006F47F8"/>
    <w:rsid w:val="00813EF7"/>
    <w:rsid w:val="008235CB"/>
    <w:rsid w:val="00841D17"/>
    <w:rsid w:val="00861784"/>
    <w:rsid w:val="008A0B91"/>
    <w:rsid w:val="009160D9"/>
    <w:rsid w:val="009371B3"/>
    <w:rsid w:val="009700C6"/>
    <w:rsid w:val="00A033D5"/>
    <w:rsid w:val="00A5018E"/>
    <w:rsid w:val="00A817FC"/>
    <w:rsid w:val="00AC1DC8"/>
    <w:rsid w:val="00B454A7"/>
    <w:rsid w:val="00B62DD4"/>
    <w:rsid w:val="00B658E1"/>
    <w:rsid w:val="00B71927"/>
    <w:rsid w:val="00CD7971"/>
    <w:rsid w:val="00E4120E"/>
    <w:rsid w:val="00E769F8"/>
    <w:rsid w:val="00E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D7E7-0E33-4D48-811C-D7C1CC1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2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1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Kapua Iao</dc:creator>
  <cp:keywords/>
  <dc:description/>
  <cp:lastModifiedBy>Kapua Iao</cp:lastModifiedBy>
  <cp:revision>11</cp:revision>
  <dcterms:created xsi:type="dcterms:W3CDTF">2020-01-09T16:22:00Z</dcterms:created>
  <dcterms:modified xsi:type="dcterms:W3CDTF">2020-02-04T21:57:00Z</dcterms:modified>
</cp:coreProperties>
</file>